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E2" w:rsidRPr="008C50E2" w:rsidRDefault="008C50E2">
      <w:pPr>
        <w:rPr>
          <w:color w:val="C00000"/>
        </w:rPr>
      </w:pPr>
      <w:r w:rsidRPr="008C50E2">
        <w:rPr>
          <w:rFonts w:ascii="Times New Roman" w:hAnsi="Times New Roman" w:cs="Times New Roman"/>
          <w:color w:val="C00000"/>
          <w:sz w:val="35"/>
          <w:szCs w:val="35"/>
        </w:rPr>
        <w:t>Amendments in Point of Taxation Rules</w:t>
      </w:r>
    </w:p>
    <w:p w:rsid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The Point of taxation rules were introduced in 2011 and since then, the govt. has made numerous</w:t>
      </w:r>
      <w:r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amendments to it.</w:t>
      </w:r>
    </w:p>
    <w:p w:rsidR="008C50E2" w:rsidRPr="008C50E2" w:rsidRDefault="008C50E2" w:rsidP="008C50E2">
      <w:pPr>
        <w:pStyle w:val="Heading2"/>
        <w:rPr>
          <w:color w:val="C00000"/>
        </w:rPr>
      </w:pPr>
      <w:r w:rsidRPr="008C50E2">
        <w:rPr>
          <w:color w:val="C00000"/>
        </w:rPr>
        <w:t>Recent Changes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1, In case of individuals and firms, where the taxable services provided in a year do not exceed Rs. 50</w:t>
      </w:r>
      <w:r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Pr="008C50E2">
        <w:rPr>
          <w:rFonts w:cs="Times New Roman"/>
          <w:color w:val="333333"/>
          <w:sz w:val="24"/>
          <w:szCs w:val="24"/>
        </w:rPr>
        <w:t>lakhs</w:t>
      </w:r>
      <w:proofErr w:type="spellEnd"/>
      <w:r w:rsidRPr="008C50E2">
        <w:rPr>
          <w:rFonts w:cs="Times New Roman"/>
          <w:color w:val="333333"/>
          <w:sz w:val="24"/>
          <w:szCs w:val="24"/>
        </w:rPr>
        <w:t>, they have the option to pay service tax on receipt basis.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2. In-case service provider receives up to Rs. 1000 in excess of the invoice amount; there is no need to</w:t>
      </w:r>
      <w:r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raise fresh invoice for such excess amount if POT rules are followed.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3. Exporter of service is not required to pay tax if payment is received within the period specified by RBI.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4. Date of payment has been specifically defined under Rule 2A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proofErr w:type="gramStart"/>
      <w:r w:rsidRPr="008C50E2">
        <w:rPr>
          <w:rFonts w:cs="Times New Roman"/>
          <w:color w:val="333333"/>
          <w:sz w:val="24"/>
          <w:szCs w:val="24"/>
        </w:rPr>
        <w:t>i</w:t>
      </w:r>
      <w:proofErr w:type="gramEnd"/>
      <w:r w:rsidRPr="008C50E2">
        <w:rPr>
          <w:rFonts w:cs="Times New Roman"/>
          <w:color w:val="333333"/>
          <w:sz w:val="24"/>
          <w:szCs w:val="24"/>
        </w:rPr>
        <w:t>. In normal case - Prior to entry into books of accounts or actual credit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ii. In case of change of rate or new levy between the said two dates - Date when the amount is actually</w:t>
      </w:r>
      <w:r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credited in the bank, if it is credited more than 4 days after date of such change.</w:t>
      </w:r>
    </w:p>
    <w:p w:rsid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5. Continuous supply of services]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8C50E2">
        <w:rPr>
          <w:rFonts w:cs="Times New Roman"/>
          <w:color w:val="C00000"/>
          <w:sz w:val="24"/>
          <w:szCs w:val="24"/>
        </w:rPr>
        <w:t>a. Continuous services: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i. Telecommunication Services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ii. Commercial or Industrial construction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iii. Construction of residential complex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iv. Internet telecommunication and works contract</w:t>
      </w:r>
    </w:p>
    <w:p w:rsid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v. Any other services if provided continuously or on recurrent basis under a contract for a period exceeding</w:t>
      </w:r>
      <w:r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three months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C00000"/>
          <w:sz w:val="24"/>
          <w:szCs w:val="24"/>
        </w:rPr>
        <w:t>b. Point of taxation for above shall be as follows</w:t>
      </w:r>
      <w:r w:rsidRPr="008C50E2">
        <w:rPr>
          <w:rFonts w:cs="Times New Roman"/>
          <w:color w:val="333333"/>
          <w:sz w:val="24"/>
          <w:szCs w:val="24"/>
        </w:rPr>
        <w:t>: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i. Date of issue of invoice or receipt of payment, if the invoice is issued within the prescribed period of 30</w:t>
      </w:r>
      <w:r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days from the date of completion of the provision of service (earlier which was 14 days). In-case of service</w:t>
      </w:r>
      <w:r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provider is banking company or NBFC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ii. Date of completion of the provision of service or receipt of payment, if the invoice is not issued within the</w:t>
      </w:r>
      <w:r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prescribed time as above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iii</w:t>
      </w:r>
      <w:r w:rsidRPr="008C50E2">
        <w:rPr>
          <w:rFonts w:cs="Times New Roman"/>
          <w:color w:val="333333"/>
          <w:sz w:val="24"/>
          <w:szCs w:val="24"/>
        </w:rPr>
        <w:t>. Separate rules for continuous services have been omitted.</w:t>
      </w:r>
    </w:p>
    <w:p w:rsid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iv</w:t>
      </w:r>
      <w:r w:rsidRPr="008C50E2">
        <w:rPr>
          <w:rFonts w:cs="Times New Roman"/>
          <w:color w:val="333333"/>
          <w:sz w:val="24"/>
          <w:szCs w:val="24"/>
        </w:rPr>
        <w:t>. Provision of rules for new levy and changes of rates will also be applicable to continuous supply.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The following are the specified services where in Point of taxation is on receipt basis: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i. Architect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ii. Interior Decorator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iii. Chartered Accountants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iv. Company secretary</w:t>
      </w:r>
    </w:p>
    <w:p w:rsidR="005436B8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v. Scientific and technical consultancy</w:t>
      </w: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t>vi. Legal consultancy</w:t>
      </w:r>
    </w:p>
    <w:p w:rsid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C50E2">
        <w:rPr>
          <w:rFonts w:cs="Times New Roman"/>
          <w:color w:val="333333"/>
          <w:sz w:val="24"/>
          <w:szCs w:val="24"/>
        </w:rPr>
        <w:lastRenderedPageBreak/>
        <w:t>However Credit is available to the service recipient on receipt of invoice though no amount has been paid.</w:t>
      </w:r>
      <w:r w:rsidR="005436B8">
        <w:rPr>
          <w:rFonts w:cs="Times New Roman"/>
          <w:color w:val="333333"/>
          <w:sz w:val="24"/>
          <w:szCs w:val="24"/>
        </w:rPr>
        <w:t xml:space="preserve"> </w:t>
      </w:r>
      <w:r w:rsidRPr="008C50E2">
        <w:rPr>
          <w:rFonts w:cs="Times New Roman"/>
          <w:color w:val="333333"/>
          <w:sz w:val="24"/>
          <w:szCs w:val="24"/>
        </w:rPr>
        <w:t>And lastly the small scale exemption has been amended recognizing that the first clearances up to Rs. 10</w:t>
      </w:r>
      <w:r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Pr="008C50E2">
        <w:rPr>
          <w:rFonts w:cs="Times New Roman"/>
          <w:color w:val="333333"/>
          <w:sz w:val="24"/>
          <w:szCs w:val="24"/>
        </w:rPr>
        <w:t>Lakhs</w:t>
      </w:r>
      <w:proofErr w:type="spellEnd"/>
      <w:r w:rsidRPr="008C50E2">
        <w:rPr>
          <w:rFonts w:cs="Times New Roman"/>
          <w:color w:val="333333"/>
          <w:sz w:val="24"/>
          <w:szCs w:val="24"/>
        </w:rPr>
        <w:t xml:space="preserve"> will be in terms of invoices and not mere payment received.</w:t>
      </w:r>
    </w:p>
    <w:p w:rsid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8C50E2" w:rsidRPr="008C50E2" w:rsidRDefault="008C50E2" w:rsidP="008C50E2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8C50E2">
        <w:rPr>
          <w:rFonts w:cs="Times New Roman"/>
          <w:color w:val="C00000"/>
          <w:sz w:val="24"/>
          <w:szCs w:val="24"/>
        </w:rPr>
        <w:t>SOURCE COURTESY</w:t>
      </w:r>
      <w:proofErr w:type="gramStart"/>
      <w:r w:rsidRPr="008C50E2">
        <w:rPr>
          <w:rFonts w:cs="Times New Roman"/>
          <w:color w:val="C00000"/>
          <w:sz w:val="24"/>
          <w:szCs w:val="24"/>
        </w:rPr>
        <w:t>:cacubindia.com</w:t>
      </w:r>
      <w:proofErr w:type="gramEnd"/>
    </w:p>
    <w:sectPr w:rsidR="008C50E2" w:rsidRPr="008C50E2" w:rsidSect="007A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0E2"/>
    <w:rsid w:val="005436B8"/>
    <w:rsid w:val="007A417F"/>
    <w:rsid w:val="008C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</dc:creator>
  <cp:keywords/>
  <dc:description/>
  <cp:lastModifiedBy>TRE</cp:lastModifiedBy>
  <cp:revision>1</cp:revision>
  <dcterms:created xsi:type="dcterms:W3CDTF">2015-02-02T06:22:00Z</dcterms:created>
  <dcterms:modified xsi:type="dcterms:W3CDTF">2015-02-02T06:36:00Z</dcterms:modified>
</cp:coreProperties>
</file>